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CF1EA" w14:textId="77777777" w:rsidR="005A49A8" w:rsidRDefault="00121F5B">
      <w:pPr>
        <w:pStyle w:val="Cmsor1"/>
        <w:keepNext/>
        <w:pageBreakBefore/>
      </w:pPr>
      <w:bookmarkStart w:id="3" w:name="am4"/>
      <w:r>
        <w:lastRenderedPageBreak/>
        <w:t>4. sz. melléklet — Értékelési (pontozási) szempontrendszer</w:t>
      </w:r>
      <w:bookmarkEnd w:id="3"/>
    </w:p>
    <w:p w14:paraId="680982B6" w14:textId="77777777" w:rsidR="005A49A8" w:rsidRDefault="00121F5B">
      <w:pPr>
        <w:pStyle w:val="Body"/>
      </w:pPr>
      <w:r>
        <w:t>A Bírálóbizottság a tartalmi értékelés során az alábbi, objektív és szakmai/szubjektív szempontokat kombináló, összesen 100 pontos rendszert alkalmazza. A pon</w:t>
      </w:r>
      <w:r>
        <w:t>tozási szempontok és súlyok a felhívás közzétételével egyidejűleg nyilvánosságra kerülnek.</w:t>
      </w:r>
    </w:p>
    <w:p w14:paraId="4FE85EC0" w14:textId="77777777" w:rsidR="005A49A8" w:rsidRDefault="005A49A8">
      <w:pPr>
        <w:spacing w:after="80" w:line="240" w:lineRule="auto"/>
      </w:pPr>
    </w:p>
    <w:tbl>
      <w:tblPr>
        <w:tblW w:w="10423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  <w:gridCol w:w="1423"/>
      </w:tblGrid>
      <w:tr w:rsidR="005A49A8" w14:paraId="328D2A56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  <w:tblHeader/>
        </w:trPr>
        <w:tc>
          <w:tcPr>
            <w:tcW w:w="26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87D567" w14:textId="77777777" w:rsidR="005A49A8" w:rsidRDefault="00121F5B">
            <w:pPr>
              <w:pStyle w:val="CellHead"/>
            </w:pPr>
            <w:r>
              <w:rPr>
                <w:sz w:val="17"/>
                <w:szCs w:val="17"/>
              </w:rPr>
              <w:t>Szempont</w:t>
            </w:r>
          </w:p>
        </w:tc>
        <w:tc>
          <w:tcPr>
            <w:tcW w:w="64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2883E" w14:textId="77777777" w:rsidR="005A49A8" w:rsidRDefault="00121F5B">
            <w:pPr>
              <w:pStyle w:val="CellHead"/>
            </w:pPr>
            <w:r>
              <w:rPr>
                <w:sz w:val="17"/>
                <w:szCs w:val="17"/>
              </w:rPr>
              <w:t>Tartalom</w:t>
            </w:r>
          </w:p>
        </w:tc>
        <w:tc>
          <w:tcPr>
            <w:tcW w:w="1423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01725C" w14:textId="77777777" w:rsidR="005A49A8" w:rsidRDefault="00121F5B">
            <w:pPr>
              <w:pStyle w:val="CellHead"/>
              <w:jc w:val="center"/>
            </w:pPr>
            <w:r>
              <w:rPr>
                <w:sz w:val="17"/>
                <w:szCs w:val="17"/>
              </w:rPr>
              <w:t>Max. pont</w:t>
            </w:r>
          </w:p>
        </w:tc>
      </w:tr>
      <w:tr w:rsidR="005A49A8" w14:paraId="437B62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6C9DE2D5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Szakmai indokoltság és sürgősség</w:t>
            </w:r>
          </w:p>
        </w:tc>
        <w:tc>
          <w:tcPr>
            <w:tcW w:w="6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0013EB10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Az ellátás állatorvos által igazolt szükségessége, sürgőssége, az állat életét vagy egészségét veszélyeztető állapot súlyossága.</w:t>
            </w:r>
          </w:p>
        </w:tc>
        <w:tc>
          <w:tcPr>
            <w:tcW w:w="1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72D64A9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75E82"/>
                <w:sz w:val="20"/>
                <w:szCs w:val="20"/>
              </w:rPr>
              <w:t>20</w:t>
            </w:r>
          </w:p>
        </w:tc>
      </w:tr>
      <w:tr w:rsidR="005A49A8" w14:paraId="07F38E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6F7C4F46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Érintett állatok száma</w:t>
            </w:r>
          </w:p>
        </w:tc>
        <w:tc>
          <w:tcPr>
            <w:tcW w:w="6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0EFA3056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A támogatásból ellátni tervezett állatok száma, a kezelések jellegének és összetettségének figyelembevételével.</w:t>
            </w:r>
          </w:p>
        </w:tc>
        <w:tc>
          <w:tcPr>
            <w:tcW w:w="1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F1D091E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75E82"/>
                <w:sz w:val="20"/>
                <w:szCs w:val="20"/>
              </w:rPr>
              <w:t>20</w:t>
            </w:r>
          </w:p>
        </w:tc>
      </w:tr>
      <w:tr w:rsidR="005A49A8" w14:paraId="2202AA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25A9E7D9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Költségek indokoltsága és arányossága</w:t>
            </w:r>
          </w:p>
        </w:tc>
        <w:tc>
          <w:tcPr>
            <w:tcW w:w="6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023023B0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A költségek kapcsolódása a támogatási célhoz, a kezelések szakmai tartalmához, valamint az alkalmazott piaci árakhoz.</w:t>
            </w:r>
          </w:p>
        </w:tc>
        <w:tc>
          <w:tcPr>
            <w:tcW w:w="1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BD5BEBA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75E82"/>
                <w:sz w:val="20"/>
                <w:szCs w:val="20"/>
              </w:rPr>
              <w:t>20</w:t>
            </w:r>
          </w:p>
        </w:tc>
      </w:tr>
      <w:tr w:rsidR="005A49A8" w14:paraId="648B6D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5B4E4C26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A menhely rászorultsága</w:t>
            </w:r>
          </w:p>
        </w:tc>
        <w:tc>
          <w:tcPr>
            <w:tcW w:w="6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65CC3C5C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A szervezet pénzügyi helyzete, regionális szempontok, a gondozott állatok száma, az állatorvosi kiadások terhe, valamint az egyéb támogatási forrásokhoz való hozzáférése.</w:t>
            </w:r>
          </w:p>
        </w:tc>
        <w:tc>
          <w:tcPr>
            <w:tcW w:w="1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73482D1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75E82"/>
                <w:sz w:val="20"/>
                <w:szCs w:val="20"/>
              </w:rPr>
              <w:t>20</w:t>
            </w:r>
          </w:p>
        </w:tc>
      </w:tr>
      <w:tr w:rsidR="005A49A8" w14:paraId="5D6860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53EB54F1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8"/>
                <w:szCs w:val="18"/>
              </w:rPr>
              <w:t>A menhely működésének szakmai megbízhatósága</w:t>
            </w:r>
          </w:p>
        </w:tc>
        <w:tc>
          <w:tcPr>
            <w:tcW w:w="6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</w:tcPr>
          <w:p w14:paraId="062684D6" w14:textId="77777777" w:rsidR="005A49A8" w:rsidRDefault="00121F5B">
            <w:pPr>
              <w:pStyle w:val="CellText"/>
            </w:pPr>
            <w:r>
              <w:rPr>
                <w:sz w:val="18"/>
                <w:szCs w:val="18"/>
              </w:rPr>
              <w:t>Az örökbeadási gyakorlat, ha releváns, valamint a korábbi támogatások szabályszerű felhasználása és elszámolása, amennyiben volt korábbi támogatás.</w:t>
            </w:r>
          </w:p>
        </w:tc>
        <w:tc>
          <w:tcPr>
            <w:tcW w:w="1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EC2ACB5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75E82"/>
                <w:sz w:val="20"/>
                <w:szCs w:val="20"/>
              </w:rPr>
              <w:t>20</w:t>
            </w:r>
          </w:p>
        </w:tc>
      </w:tr>
      <w:tr w:rsidR="005A49A8" w14:paraId="35E68ECC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0" w:type="dxa"/>
            <w:gridSpan w:val="2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084F3E1B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8"/>
                <w:szCs w:val="18"/>
              </w:rPr>
              <w:t>Összesen</w:t>
            </w:r>
          </w:p>
        </w:tc>
        <w:tc>
          <w:tcPr>
            <w:tcW w:w="1423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30E47D5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43469"/>
                <w:sz w:val="20"/>
                <w:szCs w:val="20"/>
              </w:rPr>
              <w:t>100</w:t>
            </w:r>
          </w:p>
        </w:tc>
      </w:tr>
    </w:tbl>
    <w:sectPr w:rsidR="005A49A8">
      <w:headerReference w:type="default" r:id="rId7"/>
      <w:footerReference w:type="default" r:id="rId8"/>
      <w:pgSz w:w="11906" w:h="16838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